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D4D8" w14:textId="54C04997" w:rsidR="008821D2" w:rsidRDefault="007D1120">
      <w:r>
        <w:t>NOMINA RESPONSABILE DI FASE PER L’AFFIDAMENTO DEI CONTRATTI FINO AD EURO…….</w:t>
      </w:r>
    </w:p>
    <w:p w14:paraId="36BC9688" w14:textId="77777777" w:rsidR="007D1120" w:rsidRDefault="007D1120"/>
    <w:p w14:paraId="0078DD11" w14:textId="77777777" w:rsidR="007D1120" w:rsidRDefault="007D1120"/>
    <w:p w14:paraId="30E73708" w14:textId="2C7C784F" w:rsidR="007D1120" w:rsidRDefault="007D1120">
      <w:r>
        <w:t xml:space="preserve">Il Dirigente (od altro ruolo) (107 o 109) nomina responsabile di FASE per l’AFFIDAMENTO ai sensi dell’articolo 15 comma 4 del </w:t>
      </w:r>
      <w:proofErr w:type="spellStart"/>
      <w:r>
        <w:t>D.lgs</w:t>
      </w:r>
      <w:proofErr w:type="spellEnd"/>
      <w:r>
        <w:t xml:space="preserve"> 36/2023 il </w:t>
      </w:r>
      <w:proofErr w:type="spellStart"/>
      <w:proofErr w:type="gramStart"/>
      <w:r>
        <w:t>SIG,dott</w:t>
      </w:r>
      <w:proofErr w:type="spellEnd"/>
      <w:proofErr w:type="gramEnd"/>
      <w:r>
        <w:t>/</w:t>
      </w:r>
      <w:proofErr w:type="spellStart"/>
      <w:r>
        <w:t>avv</w:t>
      </w:r>
      <w:proofErr w:type="spellEnd"/>
      <w:r>
        <w:t>/</w:t>
      </w:r>
      <w:proofErr w:type="spellStart"/>
      <w:r>
        <w:t>ing</w:t>
      </w:r>
      <w:proofErr w:type="spellEnd"/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etc</w:t>
      </w:r>
      <w:proofErr w:type="spellEnd"/>
      <w:r>
        <w:t xml:space="preserve"> per la gestione degli affidamenti diretti di cui all’articolo 50 comma 1 </w:t>
      </w:r>
      <w:proofErr w:type="spellStart"/>
      <w:r>
        <w:t>lett</w:t>
      </w:r>
      <w:proofErr w:type="spellEnd"/>
      <w:r>
        <w:t xml:space="preserve"> a) e </w:t>
      </w:r>
      <w:proofErr w:type="spellStart"/>
      <w:r>
        <w:t>lett</w:t>
      </w:r>
      <w:proofErr w:type="spellEnd"/>
      <w:r>
        <w:t xml:space="preserve"> b).</w:t>
      </w:r>
    </w:p>
    <w:p w14:paraId="73D4329C" w14:textId="77777777" w:rsidR="007D1120" w:rsidRDefault="007D1120"/>
    <w:p w14:paraId="438CC32E" w14:textId="1ED03F1C" w:rsidR="007D1120" w:rsidRDefault="007D1120">
      <w:r>
        <w:t>Si riportano i compiti specifici del RUP per la fase di affidamento (</w:t>
      </w:r>
      <w:r w:rsidR="0080719C">
        <w:t xml:space="preserve">art 7 </w:t>
      </w:r>
      <w:proofErr w:type="spellStart"/>
      <w:r w:rsidR="0080719C">
        <w:t>All</w:t>
      </w:r>
      <w:proofErr w:type="spellEnd"/>
      <w:r w:rsidR="0080719C">
        <w:t xml:space="preserve"> I.2 </w:t>
      </w:r>
      <w:proofErr w:type="spellStart"/>
      <w:r w:rsidR="0080719C">
        <w:t>D.Lgs</w:t>
      </w:r>
      <w:proofErr w:type="spellEnd"/>
      <w:r w:rsidR="0080719C">
        <w:t xml:space="preserve"> 36/2023) </w:t>
      </w:r>
      <w:r>
        <w:t xml:space="preserve">che vengono demandati al RESPONSABILE DI </w:t>
      </w:r>
      <w:proofErr w:type="gramStart"/>
      <w:r>
        <w:t>FASE :</w:t>
      </w:r>
      <w:proofErr w:type="gramEnd"/>
    </w:p>
    <w:p w14:paraId="39ACE94D" w14:textId="77777777" w:rsidR="007D1120" w:rsidRDefault="007D1120"/>
    <w:p w14:paraId="64275424" w14:textId="77777777" w:rsidR="0080719C" w:rsidRPr="0080719C" w:rsidRDefault="007D1120">
      <w:pPr>
        <w:rPr>
          <w:rStyle w:val="apple-converted-space"/>
          <w:rFonts w:ascii="Titillium Web" w:hAnsi="Titillium Web"/>
          <w:color w:val="19191A"/>
          <w:sz w:val="22"/>
          <w:szCs w:val="22"/>
          <w:shd w:val="clear" w:color="auto" w:fill="FFFFFF"/>
        </w:rPr>
      </w:pPr>
      <w:r>
        <w:rPr>
          <w:rFonts w:ascii="Titillium Web" w:hAnsi="Titillium Web"/>
          <w:color w:val="19191A"/>
          <w:sz w:val="27"/>
          <w:szCs w:val="27"/>
        </w:rPr>
        <w:br/>
      </w:r>
      <w:r w:rsidRPr="0080719C">
        <w:rPr>
          <w:rFonts w:ascii="Titillium Web" w:hAnsi="Titillium Web"/>
          <w:color w:val="19191A"/>
          <w:sz w:val="22"/>
          <w:szCs w:val="22"/>
          <w:shd w:val="clear" w:color="auto" w:fill="FFFFFF"/>
        </w:rPr>
        <w:t>a) effettua la verifica della documentazione amministrativa qualora non sia nominato un responsabile di fase ai sensi dell'articolo 15, comma 4, del codice o non sia costituito un apposito ufficio o servizio a ciò deputato, sulla base delle disposizioni organizzative proprie della stazione appaltante; esercita in ogni caso funzioni di coordinamento e verifica, finalizzate ad assicurare il corretto svolgimento delle procedure e adotta le decisioni conseguenti alle valutazioni effettuate;</w:t>
      </w:r>
      <w:r w:rsidRPr="0080719C">
        <w:rPr>
          <w:rStyle w:val="apple-converted-space"/>
          <w:rFonts w:ascii="Titillium Web" w:hAnsi="Titillium Web"/>
          <w:color w:val="19191A"/>
          <w:sz w:val="22"/>
          <w:szCs w:val="22"/>
          <w:shd w:val="clear" w:color="auto" w:fill="FFFFFF"/>
        </w:rPr>
        <w:t> </w:t>
      </w:r>
      <w:r w:rsidRPr="0080719C">
        <w:rPr>
          <w:rFonts w:ascii="Titillium Web" w:hAnsi="Titillium Web"/>
          <w:color w:val="19191A"/>
          <w:sz w:val="22"/>
          <w:szCs w:val="22"/>
        </w:rPr>
        <w:br/>
      </w:r>
      <w:r w:rsidRPr="0080719C">
        <w:rPr>
          <w:rFonts w:ascii="Titillium Web" w:hAnsi="Titillium Web"/>
          <w:color w:val="19191A"/>
          <w:sz w:val="22"/>
          <w:szCs w:val="22"/>
          <w:shd w:val="clear" w:color="auto" w:fill="FFFFFF"/>
        </w:rPr>
        <w:t>b) svolge la verifica di congruità delle offerte in caso di aggiudicazione con il criterio del minor prezzo; in caso di particolare complessità delle valutazioni o della specificità delle competenze richieste, può avvalersi della struttura di supporto istituita ai sensi dell'articolo 15, comma 6, del codice, o di una commissione appositamente nominata;</w:t>
      </w:r>
      <w:r w:rsidRPr="0080719C">
        <w:rPr>
          <w:rStyle w:val="apple-converted-space"/>
          <w:rFonts w:ascii="Titillium Web" w:hAnsi="Titillium Web"/>
          <w:color w:val="19191A"/>
          <w:sz w:val="22"/>
          <w:szCs w:val="22"/>
          <w:shd w:val="clear" w:color="auto" w:fill="FFFFFF"/>
        </w:rPr>
        <w:t> </w:t>
      </w:r>
      <w:r w:rsidRPr="0080719C">
        <w:rPr>
          <w:rFonts w:ascii="Titillium Web" w:hAnsi="Titillium Web"/>
          <w:color w:val="19191A"/>
          <w:sz w:val="22"/>
          <w:szCs w:val="22"/>
        </w:rPr>
        <w:br/>
      </w:r>
      <w:r w:rsidRPr="0080719C">
        <w:rPr>
          <w:rFonts w:ascii="Titillium Web" w:hAnsi="Titillium Web"/>
          <w:color w:val="19191A"/>
          <w:sz w:val="22"/>
          <w:szCs w:val="22"/>
          <w:shd w:val="clear" w:color="auto" w:fill="FFFFFF"/>
        </w:rPr>
        <w:t>c) svolge la verifica sulle offerte anormalmente basse con l'eventuale supporto della commissione nominata ai sensi dell'articolo 93 del codice;</w:t>
      </w:r>
      <w:r w:rsidRPr="0080719C">
        <w:rPr>
          <w:rStyle w:val="apple-converted-space"/>
          <w:rFonts w:ascii="Titillium Web" w:hAnsi="Titillium Web"/>
          <w:color w:val="19191A"/>
          <w:sz w:val="22"/>
          <w:szCs w:val="22"/>
          <w:shd w:val="clear" w:color="auto" w:fill="FFFFFF"/>
        </w:rPr>
        <w:t> </w:t>
      </w:r>
      <w:r w:rsidRPr="0080719C">
        <w:rPr>
          <w:rFonts w:ascii="Titillium Web" w:hAnsi="Titillium Web"/>
          <w:color w:val="19191A"/>
          <w:sz w:val="22"/>
          <w:szCs w:val="22"/>
        </w:rPr>
        <w:br/>
      </w:r>
      <w:r w:rsidRPr="0080719C">
        <w:rPr>
          <w:rFonts w:ascii="Titillium Web" w:hAnsi="Titillium Web"/>
          <w:color w:val="19191A"/>
          <w:sz w:val="22"/>
          <w:szCs w:val="22"/>
          <w:shd w:val="clear" w:color="auto" w:fill="FFFFFF"/>
        </w:rPr>
        <w:t>d) dispone le esclusioni dalle gare;</w:t>
      </w:r>
      <w:r w:rsidRPr="0080719C">
        <w:rPr>
          <w:rStyle w:val="apple-converted-space"/>
          <w:rFonts w:ascii="Titillium Web" w:hAnsi="Titillium Web"/>
          <w:color w:val="19191A"/>
          <w:sz w:val="22"/>
          <w:szCs w:val="22"/>
          <w:shd w:val="clear" w:color="auto" w:fill="FFFFFF"/>
        </w:rPr>
        <w:t> </w:t>
      </w:r>
      <w:r w:rsidRPr="0080719C">
        <w:rPr>
          <w:rFonts w:ascii="Titillium Web" w:hAnsi="Titillium Web"/>
          <w:color w:val="19191A"/>
          <w:sz w:val="22"/>
          <w:szCs w:val="22"/>
        </w:rPr>
        <w:br/>
      </w:r>
      <w:r w:rsidRPr="0080719C">
        <w:rPr>
          <w:rFonts w:ascii="Titillium Web" w:hAnsi="Titillium Web"/>
          <w:color w:val="19191A"/>
          <w:sz w:val="22"/>
          <w:szCs w:val="22"/>
          <w:shd w:val="clear" w:color="auto" w:fill="FFFFFF"/>
        </w:rPr>
        <w:t>e) in caso di procedura che prevede l'affidamento con il criterio dell'offerta economicamente più vantaggiosa, può svolgere tutte le attività che non implicano l'esercizio di poteri valutativi, che spettano alla commissione giudicatrice;</w:t>
      </w:r>
      <w:r w:rsidRPr="0080719C">
        <w:rPr>
          <w:rStyle w:val="apple-converted-space"/>
          <w:rFonts w:ascii="Titillium Web" w:hAnsi="Titillium Web"/>
          <w:color w:val="19191A"/>
          <w:sz w:val="22"/>
          <w:szCs w:val="22"/>
          <w:shd w:val="clear" w:color="auto" w:fill="FFFFFF"/>
        </w:rPr>
        <w:t> </w:t>
      </w:r>
      <w:r w:rsidRPr="0080719C">
        <w:rPr>
          <w:rFonts w:ascii="Titillium Web" w:hAnsi="Titillium Web"/>
          <w:color w:val="19191A"/>
          <w:sz w:val="22"/>
          <w:szCs w:val="22"/>
        </w:rPr>
        <w:br/>
      </w:r>
      <w:r w:rsidRPr="0080719C">
        <w:rPr>
          <w:rFonts w:ascii="Titillium Web" w:hAnsi="Titillium Web"/>
          <w:color w:val="19191A"/>
          <w:sz w:val="22"/>
          <w:szCs w:val="22"/>
          <w:shd w:val="clear" w:color="auto" w:fill="FFFFFF"/>
        </w:rPr>
        <w:t>f) quando il criterio di aggiudicazione è quello del minor prezzo, il RUP può procedere direttamente alla valutazione delle offerte economiche;</w:t>
      </w:r>
      <w:r w:rsidRPr="0080719C">
        <w:rPr>
          <w:rStyle w:val="apple-converted-space"/>
          <w:rFonts w:ascii="Titillium Web" w:hAnsi="Titillium Web"/>
          <w:color w:val="19191A"/>
          <w:sz w:val="22"/>
          <w:szCs w:val="22"/>
          <w:shd w:val="clear" w:color="auto" w:fill="FFFFFF"/>
        </w:rPr>
        <w:t> </w:t>
      </w:r>
      <w:r w:rsidRPr="0080719C">
        <w:rPr>
          <w:rFonts w:ascii="Titillium Web" w:hAnsi="Titillium Web"/>
          <w:color w:val="19191A"/>
          <w:sz w:val="22"/>
          <w:szCs w:val="22"/>
        </w:rPr>
        <w:br/>
      </w:r>
      <w:r w:rsidRPr="0080719C">
        <w:rPr>
          <w:rFonts w:ascii="Titillium Web" w:hAnsi="Titillium Web"/>
          <w:color w:val="19191A"/>
          <w:sz w:val="22"/>
          <w:szCs w:val="22"/>
          <w:shd w:val="clear" w:color="auto" w:fill="FFFFFF"/>
        </w:rPr>
        <w:t>g) adotta il provvedimento finale della procedura quando, in base all'ordinamento della stazione appaltante, ha il potere di manifestare all'esterno la volontà della stessa.</w:t>
      </w:r>
      <w:r w:rsidRPr="0080719C">
        <w:rPr>
          <w:rStyle w:val="apple-converted-space"/>
          <w:rFonts w:ascii="Titillium Web" w:hAnsi="Titillium Web"/>
          <w:color w:val="19191A"/>
          <w:sz w:val="22"/>
          <w:szCs w:val="22"/>
          <w:shd w:val="clear" w:color="auto" w:fill="FFFFFF"/>
        </w:rPr>
        <w:t> </w:t>
      </w:r>
    </w:p>
    <w:p w14:paraId="3B49989B" w14:textId="77777777" w:rsidR="0080719C" w:rsidRDefault="0080719C">
      <w:pPr>
        <w:rPr>
          <w:rStyle w:val="apple-converted-space"/>
          <w:rFonts w:ascii="Titillium Web" w:hAnsi="Titillium Web"/>
          <w:color w:val="19191A"/>
          <w:sz w:val="27"/>
          <w:szCs w:val="27"/>
          <w:shd w:val="clear" w:color="auto" w:fill="FFFFFF"/>
        </w:rPr>
      </w:pPr>
    </w:p>
    <w:p w14:paraId="1B264AFD" w14:textId="298509B7" w:rsidR="0080719C" w:rsidRDefault="0080719C">
      <w:pPr>
        <w:rPr>
          <w:rStyle w:val="apple-converted-space"/>
          <w:rFonts w:ascii="Titillium Web" w:hAnsi="Titillium Web"/>
          <w:color w:val="19191A"/>
          <w:sz w:val="27"/>
          <w:szCs w:val="27"/>
          <w:shd w:val="clear" w:color="auto" w:fill="FFFFFF"/>
        </w:rPr>
      </w:pPr>
      <w:r>
        <w:rPr>
          <w:rStyle w:val="apple-converted-space"/>
          <w:rFonts w:ascii="Titillium Web" w:hAnsi="Titillium Web"/>
          <w:color w:val="19191A"/>
          <w:sz w:val="27"/>
          <w:szCs w:val="27"/>
          <w:shd w:val="clear" w:color="auto" w:fill="FFFFFF"/>
        </w:rPr>
        <w:t>Resta inteso che la valenza esterna dell’atto (lettera ‘g’) resta in CAPO al RESPOSANBILE DEL PROCEDIMENTO.</w:t>
      </w:r>
    </w:p>
    <w:p w14:paraId="7E7EFC51" w14:textId="77777777" w:rsidR="0080719C" w:rsidRDefault="0080719C">
      <w:pPr>
        <w:rPr>
          <w:rStyle w:val="apple-converted-space"/>
          <w:rFonts w:ascii="Titillium Web" w:hAnsi="Titillium Web"/>
          <w:color w:val="19191A"/>
          <w:sz w:val="27"/>
          <w:szCs w:val="27"/>
          <w:shd w:val="clear" w:color="auto" w:fill="FFFFFF"/>
        </w:rPr>
      </w:pPr>
    </w:p>
    <w:p w14:paraId="59036AEC" w14:textId="32CB67DF" w:rsidR="007D1120" w:rsidRDefault="0080719C">
      <w:pPr>
        <w:rPr>
          <w:rFonts w:ascii="Titillium Web" w:hAnsi="Titillium Web"/>
          <w:color w:val="19191A"/>
          <w:sz w:val="27"/>
          <w:szCs w:val="27"/>
          <w:shd w:val="clear" w:color="auto" w:fill="FFFFFF"/>
        </w:rPr>
      </w:pPr>
      <w:r>
        <w:rPr>
          <w:rStyle w:val="apple-converted-space"/>
          <w:rFonts w:ascii="Titillium Web" w:hAnsi="Titillium Web"/>
          <w:color w:val="19191A"/>
          <w:sz w:val="27"/>
          <w:szCs w:val="27"/>
          <w:shd w:val="clear" w:color="auto" w:fill="FFFFFF"/>
        </w:rPr>
        <w:t>Per l’operatività della funzione si prega il destinatario di profilarsi come RESPONSABILE DI FASE sul PORTALE ANAC (servizi.anticorruzione.it)</w:t>
      </w:r>
      <w:r w:rsidR="007D1120">
        <w:rPr>
          <w:rFonts w:ascii="Titillium Web" w:hAnsi="Titillium Web"/>
          <w:color w:val="19191A"/>
          <w:sz w:val="27"/>
          <w:szCs w:val="27"/>
        </w:rPr>
        <w:br/>
      </w:r>
    </w:p>
    <w:p w14:paraId="261F5089" w14:textId="77777777" w:rsidR="0080719C" w:rsidRDefault="0080719C">
      <w:pPr>
        <w:rPr>
          <w:rFonts w:ascii="Titillium Web" w:hAnsi="Titillium Web"/>
          <w:color w:val="19191A"/>
          <w:sz w:val="27"/>
          <w:szCs w:val="27"/>
          <w:shd w:val="clear" w:color="auto" w:fill="FFFFFF"/>
        </w:rPr>
      </w:pPr>
    </w:p>
    <w:p w14:paraId="270582B5" w14:textId="663A41BE" w:rsidR="0080719C" w:rsidRDefault="0080719C">
      <w:r>
        <w:rPr>
          <w:rFonts w:ascii="Titillium Web" w:hAnsi="Titillium Web"/>
          <w:color w:val="19191A"/>
          <w:sz w:val="27"/>
          <w:szCs w:val="27"/>
          <w:shd w:val="clear" w:color="auto" w:fill="FFFFFF"/>
        </w:rPr>
        <w:t>IL DIRIGENTE</w:t>
      </w:r>
      <w:r>
        <w:rPr>
          <w:rFonts w:ascii="Titillium Web" w:hAnsi="Titillium Web"/>
          <w:color w:val="19191A"/>
          <w:sz w:val="27"/>
          <w:szCs w:val="27"/>
          <w:shd w:val="clear" w:color="auto" w:fill="FFFFFF"/>
        </w:rPr>
        <w:tab/>
      </w:r>
      <w:r>
        <w:rPr>
          <w:rFonts w:ascii="Titillium Web" w:hAnsi="Titillium Web"/>
          <w:color w:val="19191A"/>
          <w:sz w:val="27"/>
          <w:szCs w:val="27"/>
          <w:shd w:val="clear" w:color="auto" w:fill="FFFFFF"/>
        </w:rPr>
        <w:tab/>
      </w:r>
      <w:r>
        <w:rPr>
          <w:rFonts w:ascii="Titillium Web" w:hAnsi="Titillium Web"/>
          <w:color w:val="19191A"/>
          <w:sz w:val="27"/>
          <w:szCs w:val="27"/>
          <w:shd w:val="clear" w:color="auto" w:fill="FFFFFF"/>
        </w:rPr>
        <w:tab/>
      </w:r>
      <w:r>
        <w:rPr>
          <w:rFonts w:ascii="Titillium Web" w:hAnsi="Titillium Web"/>
          <w:color w:val="19191A"/>
          <w:sz w:val="27"/>
          <w:szCs w:val="27"/>
          <w:shd w:val="clear" w:color="auto" w:fill="FFFFFF"/>
        </w:rPr>
        <w:tab/>
      </w:r>
      <w:r>
        <w:rPr>
          <w:rFonts w:ascii="Titillium Web" w:hAnsi="Titillium Web"/>
          <w:color w:val="19191A"/>
          <w:sz w:val="27"/>
          <w:szCs w:val="27"/>
          <w:shd w:val="clear" w:color="auto" w:fill="FFFFFF"/>
        </w:rPr>
        <w:tab/>
      </w:r>
      <w:r>
        <w:rPr>
          <w:rFonts w:ascii="Titillium Web" w:hAnsi="Titillium Web"/>
          <w:color w:val="19191A"/>
          <w:sz w:val="27"/>
          <w:szCs w:val="27"/>
          <w:shd w:val="clear" w:color="auto" w:fill="FFFFFF"/>
        </w:rPr>
        <w:tab/>
      </w:r>
      <w:r>
        <w:rPr>
          <w:rFonts w:ascii="Titillium Web" w:hAnsi="Titillium Web"/>
          <w:color w:val="19191A"/>
          <w:sz w:val="27"/>
          <w:szCs w:val="27"/>
          <w:shd w:val="clear" w:color="auto" w:fill="FFFFFF"/>
        </w:rPr>
        <w:tab/>
      </w:r>
      <w:r>
        <w:rPr>
          <w:rFonts w:ascii="Titillium Web" w:hAnsi="Titillium Web"/>
          <w:color w:val="19191A"/>
          <w:sz w:val="27"/>
          <w:szCs w:val="27"/>
          <w:shd w:val="clear" w:color="auto" w:fill="FFFFFF"/>
        </w:rPr>
        <w:tab/>
        <w:t>per PRESA VISIONE</w:t>
      </w:r>
    </w:p>
    <w:sectPr w:rsidR="008071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20"/>
    <w:rsid w:val="00374B4F"/>
    <w:rsid w:val="005D3F04"/>
    <w:rsid w:val="006C7CA0"/>
    <w:rsid w:val="007D1120"/>
    <w:rsid w:val="0080719C"/>
    <w:rsid w:val="0088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1DBE9D"/>
  <w15:chartTrackingRefBased/>
  <w15:docId w15:val="{8B2CEF87-5329-0E41-A8A9-22ED7910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D1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de prisco</dc:creator>
  <cp:keywords/>
  <dc:description/>
  <cp:lastModifiedBy>vincenzo de prisco</cp:lastModifiedBy>
  <cp:revision>1</cp:revision>
  <dcterms:created xsi:type="dcterms:W3CDTF">2024-01-16T14:30:00Z</dcterms:created>
  <dcterms:modified xsi:type="dcterms:W3CDTF">2024-01-16T14:44:00Z</dcterms:modified>
</cp:coreProperties>
</file>